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5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F24E23" w:rsidRPr="00F24E23">
        <w:tc>
          <w:tcPr>
            <w:tcW w:w="0" w:type="auto"/>
            <w:tcMar>
              <w:top w:w="75" w:type="dxa"/>
              <w:left w:w="150" w:type="dxa"/>
              <w:bottom w:w="150" w:type="dxa"/>
              <w:right w:w="150" w:type="dxa"/>
            </w:tcMar>
            <w:hideMark/>
          </w:tcPr>
          <w:p w:rsidR="00F24E23" w:rsidRPr="00F24E23" w:rsidRDefault="00F24E23" w:rsidP="00F2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E23" w:rsidRPr="00F24E23"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870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700"/>
            </w:tblGrid>
            <w:tr w:rsidR="00F24E23" w:rsidRPr="00F24E2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700"/>
                  </w:tblGrid>
                  <w:tr w:rsidR="00F24E23" w:rsidRPr="00F24E23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870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700"/>
                        </w:tblGrid>
                        <w:tr w:rsidR="00F24E23" w:rsidRPr="00F24E23">
                          <w:tc>
                            <w:tcPr>
                              <w:tcW w:w="8700" w:type="dxa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00"/>
                              </w:tblGrid>
                              <w:tr w:rsidR="00F24E23" w:rsidRPr="00F24E23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:rsidR="00F24E23" w:rsidRPr="00F24E23" w:rsidRDefault="00F24E23" w:rsidP="00F24E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87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00"/>
                                    </w:tblGrid>
                                    <w:tr w:rsidR="00F24E23" w:rsidRPr="00F24E23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F24E23" w:rsidRPr="00F24E23" w:rsidRDefault="00F24E23" w:rsidP="00F24E23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24E23" w:rsidRPr="00F24E23" w:rsidRDefault="00F24E23" w:rsidP="00F24E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700"/>
                              </w:tblGrid>
                              <w:tr w:rsidR="00F24E23" w:rsidRPr="00F24E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8700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00"/>
                                    </w:tblGrid>
                                    <w:tr w:rsidR="00F24E23" w:rsidRPr="00F24E23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F24E23" w:rsidRPr="00F24E23" w:rsidRDefault="00F24E23" w:rsidP="00F24E2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99009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933450" cy="933450"/>
                                                <wp:effectExtent l="19050" t="0" r="0" b="0"/>
                                                <wp:docPr id="1" name="Рисунок 1" descr="https://resize.yandex.net/mailservice?url=https%3A%2F%2Fadmin.mailigen.com%2F%2Fupload%2Fuser%2F152211%2Fimages%2Flogo.jpg&amp;proxy=yes&amp;key=39d06301dab6faedf0273c99ec833efe">
                                                  <a:hlinkClick xmlns:a="http://schemas.openxmlformats.org/drawingml/2006/main" r:id="rId4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 descr="https://resize.yandex.net/mailservice?url=https%3A%2F%2Fadmin.mailigen.com%2F%2Fupload%2Fuser%2F152211%2Fimages%2Flogo.jpg&amp;proxy=yes&amp;key=39d06301dab6faedf0273c99ec833efe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33450" cy="933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E23" w:rsidRPr="00F24E23" w:rsidRDefault="00F24E23" w:rsidP="00F24E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E23" w:rsidRPr="00F24E23"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8250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280"/>
            </w:tblGrid>
            <w:tr w:rsidR="00F24E23" w:rsidRPr="00F24E23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80"/>
                  </w:tblGrid>
                  <w:tr w:rsidR="00F24E23" w:rsidRPr="00F24E23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82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80"/>
                        </w:tblGrid>
                        <w:tr w:rsidR="00F24E23" w:rsidRPr="00F24E23">
                          <w:tc>
                            <w:tcPr>
                              <w:tcW w:w="868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F24E23" w:rsidRPr="00F24E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80"/>
                                    </w:tblGrid>
                                    <w:tr w:rsidR="00F24E23" w:rsidRPr="00F24E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F24E23" w:rsidRPr="00F24E23" w:rsidRDefault="00F24E23" w:rsidP="00F24E23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99009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5048250" cy="2838450"/>
                                                <wp:effectExtent l="19050" t="0" r="0" b="0"/>
                                                <wp:docPr id="2" name="Рисунок 2" descr="https://resize.yandex.net/mailservice?url=https%3A%2F%2Fadmin.mailigen.com%2F%2Fupload%2Fuser%2F152211%2Fimages%2Ftko1401.jpg&amp;proxy=yes&amp;key=8e6ad0bcdf994465f9adc33303774c23">
                                                  <a:hlinkClick xmlns:a="http://schemas.openxmlformats.org/drawingml/2006/main" r:id="rId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resize.yandex.net/mailservice?url=https%3A%2F%2Fadmin.mailigen.com%2F%2Fupload%2Fuser%2F152211%2Fimages%2Ftko1401.jpg&amp;proxy=yes&amp;key=8e6ad0bcdf994465f9adc33303774c23">
                                                          <a:hlinkClick r:id="rId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048250" cy="2838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E23" w:rsidRPr="00F24E23" w:rsidRDefault="00F24E23" w:rsidP="00F24E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80"/>
                              </w:tblGrid>
                              <w:tr w:rsidR="00F24E23" w:rsidRPr="00F24E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250"/>
                                    </w:tblGrid>
                                    <w:tr w:rsidR="00F24E23" w:rsidRPr="00F24E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F24E23" w:rsidRPr="00F24E23" w:rsidRDefault="000F5254" w:rsidP="00F24E23">
                                          <w:pPr>
                                            <w:spacing w:beforeAutospacing="1" w:after="0" w:afterAutospacing="1" w:line="240" w:lineRule="auto"/>
                                            <w:jc w:val="center"/>
                                            <w:outlineLvl w:val="3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8" w:tgtFrame="_blank" w:history="1">
                                            <w:r w:rsidR="00F24E23" w:rsidRPr="00F24E2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2A6D96"/>
                                                <w:sz w:val="35"/>
                                                <w:u w:val="single"/>
                                                <w:lang w:eastAsia="ru-RU"/>
                                              </w:rPr>
                                              <w:t xml:space="preserve">С 1 января </w:t>
                                            </w:r>
                                            <w:r w:rsidR="00F24E2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2A6D96"/>
                                                <w:sz w:val="35"/>
                                                <w:u w:val="single"/>
                                                <w:lang w:eastAsia="ru-RU"/>
                                              </w:rPr>
                                              <w:t xml:space="preserve">2021 г. </w:t>
                                            </w:r>
                                            <w:r w:rsidR="00F24E23" w:rsidRPr="00F24E2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2A6D96"/>
                                                <w:sz w:val="35"/>
                                                <w:u w:val="single"/>
                                                <w:lang w:eastAsia="ru-RU"/>
                                              </w:rPr>
                                              <w:t>введены единые требования к объектам по обращению с ТКО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F24E23" w:rsidRPr="00F24E23" w:rsidRDefault="00F24E23" w:rsidP="00F24E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80"/>
                  </w:tblGrid>
                  <w:tr w:rsidR="00F24E23" w:rsidRPr="00F24E23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300" w:type="dxa"/>
                          <w:bottom w:w="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765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650"/>
                        </w:tblGrid>
                        <w:tr w:rsidR="00F24E23" w:rsidRPr="00F24E23">
                          <w:tc>
                            <w:tcPr>
                              <w:tcW w:w="808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7650"/>
                              </w:tblGrid>
                              <w:tr w:rsidR="00F24E23" w:rsidRPr="00F24E2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765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7650"/>
                                    </w:tblGrid>
                                    <w:tr w:rsidR="00F24E23" w:rsidRPr="00F24E23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F24E23" w:rsidRPr="00F24E23" w:rsidRDefault="00F24E23" w:rsidP="00F24E23">
                                          <w:pPr>
                                            <w:spacing w:after="0" w:line="210" w:lineRule="atLeast"/>
                                            <w:jc w:val="both"/>
                                            <w:rPr>
                                              <w:rFonts w:ascii="Helvetica" w:eastAsia="Times New Roman" w:hAnsi="Helvetica" w:cs="Times New Roman"/>
                                              <w:color w:val="8F8E99"/>
                                              <w:sz w:val="21"/>
                                              <w:szCs w:val="21"/>
                                              <w:lang w:eastAsia="ru-RU"/>
                                            </w:rPr>
                                          </w:pPr>
                                          <w:r w:rsidRPr="00F24E23">
                                            <w:rPr>
                                              <w:rFonts w:ascii="Helvetica" w:eastAsia="Times New Roman" w:hAnsi="Helvetica" w:cs="Times New Roman"/>
                                              <w:color w:val="1A1A1A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Новый документ, утвержденный РЭО, подразумевает установление единых правил для проектирования новых объектов по обработке, утилизации и размещению отходов.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24E23" w:rsidRPr="00F24E23" w:rsidRDefault="00F24E23" w:rsidP="00F24E2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Стартовавшая в январе 2019 года реформа по обращению с отходами является одной из важнейших в национальном проекте «Экология». Внедрение раздельного сбора мусора и ликвидация незаконных свалок должны стать важными этапами развития цивилизованного обращения с коммунальными отходами. Новые национальные цели, принятые в 2020 году, устанавливают высокую планку на 2030 год, в частности, на сортировку планируется отправлять 100% отходов, а объем захоронений на полигонах должен быть снижен в два раза.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В настоящий момент пресс-служба «Российского экологического оператора» сообщила о том, что согласно утвержденному документу, с 1 января в России устанавливаются единые требования к объектам обработки, утилизации, обезвреживания и размещения бытовых отходов.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«До утверждения документа требования к объектам твердых коммунальных отходов регулировались различными нормативно-правовыми актами. Теперь для проектирования новых объектов по обработке, утилизации и размещения отходов действуют единые правила. Нормы документа регулируют случаи, когда полигоны должны быть закрыты и ликвидированы, а также прописан порядок вывода их из эксплуатации. </w:t>
      </w:r>
      <w:proofErr w:type="spellStart"/>
      <w:r>
        <w:rPr>
          <w:rFonts w:ascii="RobotoRegular" w:hAnsi="RobotoRegular"/>
          <w:color w:val="212121"/>
        </w:rPr>
        <w:t>Захораниваться</w:t>
      </w:r>
      <w:proofErr w:type="spellEnd"/>
      <w:r>
        <w:rPr>
          <w:rFonts w:ascii="RobotoRegular" w:hAnsi="RobotoRegular"/>
          <w:color w:val="212121"/>
        </w:rPr>
        <w:t xml:space="preserve"> и </w:t>
      </w:r>
      <w:r>
        <w:rPr>
          <w:rFonts w:ascii="RobotoRegular" w:hAnsi="RobotoRegular"/>
          <w:color w:val="212121"/>
        </w:rPr>
        <w:lastRenderedPageBreak/>
        <w:t>сжигаться отходы должны, если они непригодны для переработки», - пояснила пресс-служба.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>Кроме того, на объектах обработки приоритет должен отдаваться автоматизированной сортировке, так как это позволит извлекать максимальное количество видов отходов для дальнейшей утилизации. В документе закреплено требование к оборудованию объектов весами и автоматизированной системой учета и передачи данных в информационную систему учета отходов. В РЭО обратили отдельное внимание на обязанность объектов по соблюдению правил, позволяющих избежать загрязнения окружающей среды.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Исполнительный директор ассоциации «Чистая страна» Руслан </w:t>
      </w:r>
      <w:proofErr w:type="spellStart"/>
      <w:r>
        <w:rPr>
          <w:rFonts w:ascii="RobotoRegular" w:hAnsi="RobotoRegular"/>
          <w:color w:val="212121"/>
        </w:rPr>
        <w:t>Харисович</w:t>
      </w:r>
      <w:proofErr w:type="spellEnd"/>
      <w:r>
        <w:rPr>
          <w:rFonts w:ascii="RobotoRegular" w:hAnsi="RobotoRegular"/>
          <w:color w:val="212121"/>
        </w:rPr>
        <w:t xml:space="preserve"> Губайдуллин отметил, что большинство объектов, запущенных с 2018 по 2020 год, соответствуют утвержденным правилам. Остальные объекты необходимо привести в соответствие до 2026 года.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«Сложности могут возникнуть с теми заводами и предприятиями, которые были построены ранее. Им необходима модернизация и реконструкция. Возникает вопрос об источнике финансирования. Дело в том, что инвестиционная составляющая в тариф регионального оператора не включена, соответственно, денег на обновление объектов у компаний нет. Таким образом, этот вопрос нужно решать оперативно, чтобы к 2026 году привести инфраструктуру к единым требованиям», - пояснил Руслан </w:t>
      </w:r>
      <w:proofErr w:type="spellStart"/>
      <w:r>
        <w:rPr>
          <w:rFonts w:ascii="RobotoRegular" w:hAnsi="RobotoRegular"/>
          <w:color w:val="212121"/>
        </w:rPr>
        <w:t>Харисович</w:t>
      </w:r>
      <w:proofErr w:type="spellEnd"/>
      <w:r>
        <w:rPr>
          <w:rFonts w:ascii="RobotoRegular" w:hAnsi="RobotoRegular"/>
          <w:color w:val="212121"/>
        </w:rPr>
        <w:t>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24E23" w:rsidRPr="00F24E23" w:rsidTr="00F24E23">
        <w:tc>
          <w:tcPr>
            <w:tcW w:w="0" w:type="auto"/>
            <w:shd w:val="clear" w:color="auto" w:fill="FFFFFF"/>
            <w:hideMark/>
          </w:tcPr>
          <w:tbl>
            <w:tblPr>
              <w:tblW w:w="76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0"/>
            </w:tblGrid>
            <w:tr w:rsidR="00F24E23" w:rsidRPr="00F24E23">
              <w:tc>
                <w:tcPr>
                  <w:tcW w:w="0" w:type="auto"/>
                  <w:tcMar>
                    <w:top w:w="7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F24E23" w:rsidRPr="00F24E23" w:rsidRDefault="000F5254" w:rsidP="00F24E23">
                  <w:pPr>
                    <w:spacing w:beforeAutospacing="1" w:after="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="00F24E23" w:rsidRPr="00F24E23">
                      <w:rPr>
                        <w:rFonts w:ascii="Arial" w:eastAsia="Times New Roman" w:hAnsi="Arial" w:cs="Arial"/>
                        <w:b/>
                        <w:bCs/>
                        <w:color w:val="2A6D96"/>
                        <w:sz w:val="35"/>
                        <w:lang w:eastAsia="ru-RU"/>
                      </w:rPr>
                      <w:t>Какую информацию можно будет размещать на платежке?</w:t>
                    </w:r>
                  </w:hyperlink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Pr="00F24E23" w:rsidRDefault="00F24E23" w:rsidP="00F2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5"/>
      </w:tblGrid>
      <w:tr w:rsidR="00F24E23" w:rsidRPr="00F24E23" w:rsidTr="00F24E23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7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  <w:gridCol w:w="3390"/>
            </w:tblGrid>
            <w:tr w:rsidR="00F24E23" w:rsidRPr="00F24E23">
              <w:tc>
                <w:tcPr>
                  <w:tcW w:w="363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90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66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90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133600" cy="1200150"/>
                                    <wp:effectExtent l="19050" t="0" r="0" b="0"/>
                                    <wp:docPr id="10" name="Рисунок 10" descr="https://resize.yandex.net/mailservice?url=https%3A%2F%2Fadmin.mailigen.com%2F%2Fupload%2Fuser%2F152211%2Fimages%2Fnovostyo1401.jpg&amp;proxy=yes&amp;key=3c98b3801e70f88c35e0cbe4f5533fbe">
                                      <a:hlinkClick xmlns:a="http://schemas.openxmlformats.org/drawingml/2006/main" r:id="rId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resize.yandex.net/mailservice?url=https%3A%2F%2Fadmin.mailigen.com%2F%2Fupload%2Fuser%2F152211%2Fimages%2Fnovostyo1401.jpg&amp;proxy=yes&amp;key=3c98b3801e70f88c35e0cbe4f5533fb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0" cy="1200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2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90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39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390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Helvetica" w:eastAsia="Times New Roman" w:hAnsi="Helvetica" w:cs="Times New Roman"/>
                                  <w:color w:val="1A1A1A"/>
                                  <w:sz w:val="20"/>
                                  <w:szCs w:val="20"/>
                                  <w:lang w:eastAsia="ru-RU"/>
                                </w:rPr>
                                <w:t>Новый законопроект предполагает утверждение перечня справочно-информационных сведений, которые можно будет печатать на платежных документах.</w:t>
                              </w:r>
                            </w:p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</w:p>
    <w:p w:rsidR="00F24E23" w:rsidRPr="00F24E23" w:rsidRDefault="00F24E23" w:rsidP="00F24E23">
      <w:pPr>
        <w:spacing w:after="150" w:line="240" w:lineRule="auto"/>
        <w:jc w:val="both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  <w:r w:rsidRPr="00F24E23"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  <w:t>Согласно действующему законодательству, на платежных документах, предназначенных для оплаты жилищных и коммунальных услуг, запрещено размещать рекламную информацию (в том числе и на оборотной стороне таких документов). Запрет не распространяется на социальную рекламу и справочную информацию. Однако в виду того, что в настоящий момент не существует утвержденного перечня такого рода справочной информации, антимонопольные органы могут оценивать её необъективно.</w:t>
      </w:r>
    </w:p>
    <w:p w:rsidR="00F24E23" w:rsidRPr="00F24E23" w:rsidRDefault="00F24E23" w:rsidP="00F24E23">
      <w:pPr>
        <w:spacing w:after="150" w:line="240" w:lineRule="auto"/>
        <w:jc w:val="both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  <w:r w:rsidRPr="00F24E23"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  <w:t>В рамках весенней сессии пленарных заседаний Госдумы РФ планируется рассмотрение нового законопроекта, который предполагает формирование списка информационных сведений, подлежащих размещению на платежных документах ЖКХ. Подразумевается, что данный список будет включать в себя информацию о предоставлении ЖКУ, об изменениях в тарифах и нормативах на потребление, а также о выборе, установке и использовании счетчиков. Допускается, что к разрешенным для размещения сведениям могут относиться данные о безопасности и страховании имущества, информация о сервисах передачи показаний счетчиков (в том числе, о последствиях непредставления показаний), сведения о приеме платежей и способах коммуникаций, нацеленных на повышение качества обслуживания потребителей.</w:t>
      </w:r>
    </w:p>
    <w:p w:rsidR="00F24E23" w:rsidRPr="00F24E23" w:rsidRDefault="00F24E23" w:rsidP="00F24E23">
      <w:pPr>
        <w:spacing w:after="150" w:line="240" w:lineRule="auto"/>
        <w:jc w:val="both"/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</w:pPr>
      <w:r w:rsidRPr="00F24E23">
        <w:rPr>
          <w:rFonts w:ascii="RobotoRegular" w:eastAsia="Times New Roman" w:hAnsi="RobotoRegular" w:cs="Times New Roman"/>
          <w:color w:val="212121"/>
          <w:sz w:val="24"/>
          <w:szCs w:val="24"/>
          <w:lang w:eastAsia="ru-RU"/>
        </w:rPr>
        <w:lastRenderedPageBreak/>
        <w:t>Кроме того, предлагается не относить к разряду рекламы информацию о проведении бонусных и иных акций исполнителем ЖКУ или лицом, которого исполнитель привлек на основании договора для начисления размера платы.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24E23" w:rsidRPr="00F24E23" w:rsidTr="00F24E23">
        <w:tc>
          <w:tcPr>
            <w:tcW w:w="0" w:type="auto"/>
            <w:shd w:val="clear" w:color="auto" w:fill="FFFFFF"/>
            <w:hideMark/>
          </w:tcPr>
          <w:tbl>
            <w:tblPr>
              <w:tblW w:w="76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0"/>
            </w:tblGrid>
            <w:tr w:rsidR="00F24E23" w:rsidRPr="00F24E23">
              <w:tc>
                <w:tcPr>
                  <w:tcW w:w="0" w:type="auto"/>
                  <w:tcMar>
                    <w:top w:w="7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F24E23" w:rsidRPr="00F24E23" w:rsidRDefault="000F5254" w:rsidP="00F24E23">
                  <w:pPr>
                    <w:spacing w:beforeAutospacing="1" w:after="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1" w:tgtFrame="_blank" w:history="1">
                    <w:r w:rsidR="00F24E23" w:rsidRPr="00F24E23">
                      <w:rPr>
                        <w:rFonts w:ascii="Helvetica" w:eastAsia="Times New Roman" w:hAnsi="Helvetica" w:cs="Times New Roman"/>
                        <w:b/>
                        <w:bCs/>
                        <w:color w:val="2A6D96"/>
                        <w:sz w:val="35"/>
                        <w:lang w:eastAsia="ru-RU"/>
                      </w:rPr>
                      <w:t>Новый законопроект позволит упростить передачу элементов благоустройства</w:t>
                    </w:r>
                  </w:hyperlink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Pr="00F24E23" w:rsidRDefault="00F24E23" w:rsidP="00F2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5"/>
      </w:tblGrid>
      <w:tr w:rsidR="00F24E23" w:rsidRPr="00F24E23" w:rsidTr="00F24E23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7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  <w:gridCol w:w="3435"/>
            </w:tblGrid>
            <w:tr w:rsidR="00F24E23" w:rsidRPr="00F24E23">
              <w:tc>
                <w:tcPr>
                  <w:tcW w:w="363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60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6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60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105025" cy="1181100"/>
                                    <wp:effectExtent l="19050" t="0" r="9525" b="0"/>
                                    <wp:docPr id="14" name="Рисунок 14" descr="https://resize.yandex.net/mailservice?url=https%3A%2F%2Fadmin.mailigen.com%2F%2Fupload%2Fuser%2F152211%2Fimages%2Fuprmkd1401.jpg&amp;proxy=yes&amp;key=af20989a55a607fa499ca30c8719863b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resize.yandex.net/mailservice?url=https%3A%2F%2Fadmin.mailigen.com%2F%2Fupload%2Fuser%2F152211%2Fimages%2Fuprmkd1401.jpg&amp;proxy=yes&amp;key=af20989a55a607fa499ca30c8719863b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05025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5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35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43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35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Helvetica" w:eastAsia="Times New Roman" w:hAnsi="Helvetica" w:cs="Times New Roman"/>
                                  <w:color w:val="1A1A1A"/>
                                  <w:sz w:val="20"/>
                                  <w:szCs w:val="20"/>
                                  <w:lang w:eastAsia="ru-RU"/>
                                </w:rPr>
                                <w:t>Благодаря планируемым изменениям прояснится порядок обслуживания элементов благоустройства, а сама процедура передачи будет упрощена.</w:t>
                              </w:r>
                            </w:p>
                            <w:p w:rsidR="00F24E23" w:rsidRPr="00F24E23" w:rsidRDefault="00F24E23" w:rsidP="00F24E23">
                              <w:pPr>
                                <w:shd w:val="clear" w:color="auto" w:fill="FFFFFF"/>
                                <w:spacing w:after="0" w:line="240" w:lineRule="auto"/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"/>
                                  <w:szCs w:val="2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"/>
                                  <w:szCs w:val="2"/>
                                  <w:lang w:eastAsia="ru-RU"/>
                                </w:rPr>
                                <w:br/>
                                <w:t> </w:t>
                              </w:r>
                            </w:p>
                            <w:p w:rsidR="00F24E23" w:rsidRDefault="00F24E23" w:rsidP="00F24E23">
                              <w:pPr>
                                <w:shd w:val="clear" w:color="auto" w:fill="FFFFFF"/>
                                <w:spacing w:after="150" w:line="240" w:lineRule="auto"/>
                                <w:jc w:val="both"/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  <w:p w:rsidR="00F24E23" w:rsidRPr="00F24E23" w:rsidRDefault="00F24E23" w:rsidP="00F24E23">
                              <w:pPr>
                                <w:shd w:val="clear" w:color="auto" w:fill="FFFFFF"/>
                                <w:spacing w:after="150" w:line="240" w:lineRule="auto"/>
                                <w:jc w:val="both"/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 xml:space="preserve">Заместитель Председателя Комитета Госдумы России по жилищной политике и ЖКХ Павел Рюрикович </w:t>
                              </w:r>
                              <w:proofErr w:type="spellStart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>Качкаев</w:t>
                              </w:r>
                              <w:proofErr w:type="spellEnd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 xml:space="preserve"> сообщил о том, что в рамках весенней сессии будет рассмотрен новый законопроект относительно порядка передачи элементов благоустройства. Изменения коснутся статья 15 и 36 Жилищного кодекса РФ и будут устанавливать порядок передачи элементов благоустройства из государственной или муниципальной собственности владельцам жилья.</w:t>
                              </w:r>
                            </w:p>
                            <w:p w:rsidR="00F24E23" w:rsidRPr="00F24E23" w:rsidRDefault="00F24E23" w:rsidP="00F24E23">
                              <w:pPr>
                                <w:shd w:val="clear" w:color="auto" w:fill="FFFFFF"/>
                                <w:spacing w:after="150" w:line="240" w:lineRule="auto"/>
                                <w:jc w:val="both"/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>«Те элементы благоустройства, которые делаются с помощью федерального, регионального и муниципального бюджетов, сейчас не могут бесплатно переходить в собственность. То есть мы благоустраиваем двор, а он «</w:t>
                              </w:r>
                              <w:proofErr w:type="spellStart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>подвисает</w:t>
                              </w:r>
                              <w:proofErr w:type="spellEnd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>» — земля у дома в кадастре, а все элементы благоустройства принадлежат государству или муниципалитету», — пояснил депутат.</w:t>
                              </w:r>
                            </w:p>
                            <w:p w:rsidR="00F24E23" w:rsidRPr="00F24E23" w:rsidRDefault="00F24E23" w:rsidP="00F24E23">
                              <w:pPr>
                                <w:shd w:val="clear" w:color="auto" w:fill="FFFFFF"/>
                                <w:spacing w:after="150" w:line="240" w:lineRule="auto"/>
                                <w:jc w:val="both"/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 xml:space="preserve">Кроме того, парламентарий рассказал о том, что на рассмотрении палаты </w:t>
                              </w:r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находится ещё семь законопроектов, в разработке которых он выступил соавтором.</w:t>
                              </w:r>
                            </w:p>
                            <w:p w:rsidR="00F24E23" w:rsidRPr="00F24E23" w:rsidRDefault="00F24E23" w:rsidP="00F24E23">
                              <w:pPr>
                                <w:shd w:val="clear" w:color="auto" w:fill="FFFFFF"/>
                                <w:spacing w:after="150" w:line="240" w:lineRule="auto"/>
                                <w:jc w:val="both"/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 xml:space="preserve">«Осталось много отложенных законопроектов, которые мы просто физически не успели рассмотреть в осеннюю сессию. Поэтому на </w:t>
                              </w:r>
                              <w:proofErr w:type="gramStart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>весеннюю</w:t>
                              </w:r>
                              <w:proofErr w:type="gramEnd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 xml:space="preserve"> пойдёт достаточно большое число, в том числе об уточнении прямых договоров, а также по </w:t>
                              </w:r>
                              <w:proofErr w:type="spellStart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>онлайн-голосованию</w:t>
                              </w:r>
                              <w:proofErr w:type="spellEnd"/>
                              <w:r w:rsidRPr="00F24E23">
                                <w:rPr>
                                  <w:rFonts w:ascii="RobotoRegular" w:eastAsia="Times New Roman" w:hAnsi="RobotoRegular" w:cs="Times New Roman"/>
                                  <w:color w:val="212121"/>
                                  <w:sz w:val="24"/>
                                  <w:szCs w:val="24"/>
                                  <w:lang w:eastAsia="ru-RU"/>
                                </w:rPr>
                                <w:t xml:space="preserve"> собственников — оказалось, что эта процедура в предлагаемом виде для многих неудобна», - добавил Павел Рюрикович.</w:t>
                              </w:r>
                            </w:p>
                            <w:p w:rsidR="00F24E23" w:rsidRPr="00F24E23" w:rsidRDefault="000F5254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="00F24E23" w:rsidRPr="00F24E23">
                                  <w:rPr>
                                    <w:rFonts w:ascii="Helvetica" w:eastAsia="Times New Roman" w:hAnsi="Helvetica" w:cs="Times New Roman"/>
                                    <w:color w:val="1A1A1A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br/>
                                </w:r>
                              </w:hyperlink>
                            </w:p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eastAsia="Times New Roman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Pr="00F24E23" w:rsidRDefault="00F24E23" w:rsidP="00F2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24E23" w:rsidRPr="00F24E23" w:rsidTr="00F24E23">
        <w:tc>
          <w:tcPr>
            <w:tcW w:w="0" w:type="auto"/>
            <w:shd w:val="clear" w:color="auto" w:fill="FFFFFF"/>
            <w:hideMark/>
          </w:tcPr>
          <w:tbl>
            <w:tblPr>
              <w:tblW w:w="76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0"/>
            </w:tblGrid>
            <w:tr w:rsidR="00F24E23" w:rsidRPr="00F24E23">
              <w:tc>
                <w:tcPr>
                  <w:tcW w:w="0" w:type="auto"/>
                  <w:tcMar>
                    <w:top w:w="7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F24E23" w:rsidRPr="00F24E23" w:rsidRDefault="000F5254" w:rsidP="00F24E23">
                  <w:pPr>
                    <w:spacing w:beforeAutospacing="1" w:after="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4" w:tgtFrame="_blank" w:history="1">
                    <w:r w:rsidR="00F24E23" w:rsidRPr="00F24E23">
                      <w:rPr>
                        <w:rFonts w:ascii="Arial" w:eastAsia="Times New Roman" w:hAnsi="Arial" w:cs="Arial"/>
                        <w:b/>
                        <w:bCs/>
                        <w:color w:val="2A6D96"/>
                        <w:sz w:val="35"/>
                        <w:lang w:eastAsia="ru-RU"/>
                      </w:rPr>
                      <w:t>Документацию на присоединение к теплосетям предлагается стандартизировать</w:t>
                    </w:r>
                  </w:hyperlink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Pr="00F24E23" w:rsidRDefault="00F24E23" w:rsidP="00F2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5"/>
      </w:tblGrid>
      <w:tr w:rsidR="00F24E23" w:rsidRPr="00F24E23" w:rsidTr="00F24E23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7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90"/>
              <w:gridCol w:w="3405"/>
            </w:tblGrid>
            <w:tr w:rsidR="00F24E23" w:rsidRPr="00F24E23">
              <w:tc>
                <w:tcPr>
                  <w:tcW w:w="363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90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64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90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124075" cy="1190625"/>
                                    <wp:effectExtent l="19050" t="0" r="9525" b="0"/>
                                    <wp:docPr id="15" name="Рисунок 15" descr="https://resize.yandex.net/mailservice?url=https%3A%2F%2Fadmin.mailigen.com%2F%2Fupload%2Fuser%2F152211%2Fimages%2Fteplo1401.jpg&amp;proxy=yes&amp;key=47ff5716f485136de4cf325a4465ce78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https://resize.yandex.net/mailservice?url=https%3A%2F%2Fadmin.mailigen.com%2F%2Fupload%2Fuser%2F152211%2Fimages%2Fteplo1401.jpg&amp;proxy=yes&amp;key=47ff5716f485136de4cf325a4465ce78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24075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Default="00F24E23" w:rsidP="00F24E23">
                  <w:pPr>
                    <w:pStyle w:val="a4"/>
                    <w:shd w:val="clear" w:color="auto" w:fill="FFFFFF"/>
                    <w:spacing w:before="0" w:beforeAutospacing="0" w:after="150" w:afterAutospacing="0"/>
                    <w:jc w:val="both"/>
                    <w:rPr>
                      <w:rFonts w:ascii="RobotoRegular" w:hAnsi="RobotoRegular"/>
                      <w:color w:val="212121"/>
                    </w:rPr>
                  </w:pPr>
                  <w:r>
                    <w:rPr>
                      <w:rFonts w:ascii="RobotoRegular" w:hAnsi="RobotoRegular"/>
                      <w:color w:val="212121"/>
                    </w:rPr>
                    <w:t>В рамках заседания Совета Федерации 3 ноября прошлого года обсуждалось закрепление за Правительством РФ полномочий на разработку типовых форм документов, необходимых для подключения к системам теплоснабжения. По мнению</w:t>
                  </w:r>
                  <w:proofErr w:type="gramStart"/>
                  <w:r>
                    <w:rPr>
                      <w:rFonts w:ascii="RobotoRegular" w:hAnsi="RobotoRegular"/>
                      <w:color w:val="212121"/>
                    </w:rPr>
                    <w:t xml:space="preserve"> П</w:t>
                  </w:r>
                  <w:proofErr w:type="gramEnd"/>
                  <w:r>
                    <w:rPr>
                      <w:rFonts w:ascii="RobotoRegular" w:hAnsi="RobotoRegular"/>
                      <w:color w:val="212121"/>
                    </w:rPr>
                    <w:t>ервого Заместителя Председателя Комитета Совета Федерации по экономической политике Юрия Викторовича Фёдорова, такой подход позволит избежать разночтений в правовом поле.</w:t>
                  </w:r>
                </w:p>
                <w:p w:rsidR="00F24E23" w:rsidRDefault="00F24E23" w:rsidP="00F24E23">
                  <w:pPr>
                    <w:pStyle w:val="a4"/>
                    <w:shd w:val="clear" w:color="auto" w:fill="FFFFFF"/>
                    <w:spacing w:before="0" w:beforeAutospacing="0" w:after="150" w:afterAutospacing="0"/>
                    <w:jc w:val="both"/>
                    <w:rPr>
                      <w:rFonts w:ascii="RobotoRegular" w:hAnsi="RobotoRegular"/>
                      <w:color w:val="212121"/>
                    </w:rPr>
                  </w:pPr>
                  <w:r>
                    <w:rPr>
                      <w:rFonts w:ascii="RobotoRegular" w:hAnsi="RobotoRegular"/>
                      <w:color w:val="212121"/>
                    </w:rPr>
                    <w:t xml:space="preserve">В настоящий момент на федеральном портале проектов </w:t>
                  </w:r>
                  <w:r>
                    <w:rPr>
                      <w:rFonts w:ascii="RobotoRegular" w:hAnsi="RobotoRegular"/>
                      <w:color w:val="212121"/>
                    </w:rPr>
                    <w:lastRenderedPageBreak/>
                    <w:t>нормативных правовых актов опубликован проект постановления об утверждении типовых форм документов, необходимых для подключения к системам теплоснабжения, разработанный Минстроем РФ.</w:t>
                  </w:r>
                </w:p>
                <w:p w:rsidR="00F24E23" w:rsidRDefault="00F24E23" w:rsidP="00F24E23">
                  <w:pPr>
                    <w:pStyle w:val="a4"/>
                    <w:shd w:val="clear" w:color="auto" w:fill="FFFFFF"/>
                    <w:spacing w:before="0" w:beforeAutospacing="0" w:after="150" w:afterAutospacing="0"/>
                    <w:jc w:val="both"/>
                    <w:rPr>
                      <w:rFonts w:ascii="RobotoRegular" w:hAnsi="RobotoRegular"/>
                      <w:color w:val="212121"/>
                    </w:rPr>
                  </w:pPr>
                  <w:r>
                    <w:rPr>
                      <w:rFonts w:ascii="RobotoRegular" w:hAnsi="RobotoRegular"/>
                      <w:color w:val="212121"/>
                    </w:rPr>
                    <w:t>Авторы инициативы считают, что принятие документа сможет устранить законодательные коллизии, которые на сегодняшний день позволяют некоторым организациям устанавливать свои правила в части оформления заявок на подключение и составления договоров с поставщиками.</w:t>
                  </w:r>
                </w:p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5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05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40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05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Helvetica" w:eastAsia="Times New Roman" w:hAnsi="Helvetica" w:cs="Times New Roman"/>
                                  <w:color w:val="1A1A1A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Минстрой РФ предлагает унифицировать договорную практику и повысить прозрачность процедуры подключения к теплосетям за счет использования единых форм заявки и договора на подключение.</w:t>
                              </w:r>
                            </w:p>
                            <w:p w:rsidR="00F24E23" w:rsidRDefault="00F24E23" w:rsidP="00F24E23">
                              <w:pPr>
                                <w:spacing w:after="0" w:line="210" w:lineRule="atLeast"/>
                                <w:rPr>
                                  <w:rFonts w:eastAsia="Times New Roman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F24E23" w:rsidRDefault="00F24E23" w:rsidP="00F24E23">
                              <w:pPr>
                                <w:spacing w:after="0" w:line="210" w:lineRule="atLeast"/>
                                <w:rPr>
                                  <w:rFonts w:eastAsia="Times New Roman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eastAsia="Times New Roman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Pr="00F24E23" w:rsidRDefault="00F24E23" w:rsidP="00F2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24E23" w:rsidRPr="00F24E23" w:rsidTr="00F24E23">
        <w:tc>
          <w:tcPr>
            <w:tcW w:w="0" w:type="auto"/>
            <w:shd w:val="clear" w:color="auto" w:fill="FFFFFF"/>
            <w:hideMark/>
          </w:tcPr>
          <w:tbl>
            <w:tblPr>
              <w:tblW w:w="76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0"/>
            </w:tblGrid>
            <w:tr w:rsidR="00F24E23" w:rsidRPr="00F24E23">
              <w:tc>
                <w:tcPr>
                  <w:tcW w:w="0" w:type="auto"/>
                  <w:tcMar>
                    <w:top w:w="7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F24E23" w:rsidRPr="00F24E23" w:rsidRDefault="000F5254" w:rsidP="00F24E23">
                  <w:pPr>
                    <w:spacing w:beforeAutospacing="1" w:after="0" w:afterAutospacing="1" w:line="240" w:lineRule="auto"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="00F24E23" w:rsidRPr="00F24E23">
                      <w:rPr>
                        <w:rFonts w:ascii="Arial" w:eastAsia="Times New Roman" w:hAnsi="Arial" w:cs="Arial"/>
                        <w:b/>
                        <w:bCs/>
                        <w:color w:val="2A6D96"/>
                        <w:sz w:val="35"/>
                        <w:lang w:eastAsia="ru-RU"/>
                      </w:rPr>
                      <w:t>Минэнерго РФ предоставило данные энергопотребления за 2020 год</w:t>
                    </w:r>
                  </w:hyperlink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Pr="00F24E23" w:rsidRDefault="00F24E23" w:rsidP="00F2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55"/>
      </w:tblGrid>
      <w:tr w:rsidR="00F24E23" w:rsidRPr="00F24E23" w:rsidTr="00F24E23"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tbl>
            <w:tblPr>
              <w:tblW w:w="70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60"/>
              <w:gridCol w:w="3435"/>
            </w:tblGrid>
            <w:tr w:rsidR="00F24E23" w:rsidRPr="00F24E23">
              <w:tc>
                <w:tcPr>
                  <w:tcW w:w="363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60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61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60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990099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105025" cy="1181100"/>
                                    <wp:effectExtent l="19050" t="0" r="9525" b="0"/>
                                    <wp:docPr id="16" name="Рисунок 16" descr="https://resize.yandex.net/mailservice?url=https%3A%2F%2Fadmin.mailigen.com%2F%2Fupload%2Fuser%2F152211%2Fimages%2Feee1401.jpg&amp;proxy=yes&amp;key=9f84ac2c6fb604154a360a48f4a63e0d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https://resize.yandex.net/mailservice?url=https%3A%2F%2Fadmin.mailigen.com%2F%2Fupload%2Fuser%2F152211%2Fimages%2Feee1401.jpg&amp;proxy=yes&amp;key=9f84ac2c6fb604154a360a48f4a63e0d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05025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55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35"/>
                  </w:tblGrid>
                  <w:tr w:rsidR="00F24E23" w:rsidRPr="00F24E23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3435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435"/>
                        </w:tblGrid>
                        <w:tr w:rsidR="00F24E23" w:rsidRPr="00F24E23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F24E23">
                                <w:rPr>
                                  <w:rFonts w:ascii="Helvetica" w:eastAsia="Times New Roman" w:hAnsi="Helvetica" w:cs="Times New Roman"/>
                                  <w:color w:val="1A1A1A"/>
                                  <w:sz w:val="20"/>
                                  <w:szCs w:val="20"/>
                                  <w:lang w:eastAsia="ru-RU"/>
                                </w:rPr>
                                <w:t>Согласно официальным сведениям, предоставленным профильным ведомством, потребление электроэнергии в 2020 году по стране снизилось на 2,3%.</w:t>
                              </w:r>
                            </w:p>
                            <w:p w:rsidR="00F24E23" w:rsidRPr="00F24E23" w:rsidRDefault="000F5254" w:rsidP="00F24E23">
                              <w:pPr>
                                <w:spacing w:after="0" w:line="24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hyperlink r:id="rId18" w:tgtFrame="_blank" w:history="1">
                                <w:r w:rsidR="00F24E23" w:rsidRPr="00F24E23">
                                  <w:rPr>
                                    <w:rFonts w:ascii="Helvetica" w:eastAsia="Times New Roman" w:hAnsi="Helvetica" w:cs="Times New Roman"/>
                                    <w:color w:val="1A1A1A"/>
                                    <w:sz w:val="21"/>
                                    <w:szCs w:val="21"/>
                                    <w:u w:val="single"/>
                                    <w:lang w:eastAsia="ru-RU"/>
                                  </w:rPr>
                                  <w:br/>
                                </w:r>
                              </w:hyperlink>
                            </w:p>
                            <w:p w:rsidR="00F24E23" w:rsidRPr="00F24E23" w:rsidRDefault="00F24E23" w:rsidP="00F24E23">
                              <w:pPr>
                                <w:spacing w:after="0" w:line="210" w:lineRule="atLeast"/>
                                <w:rPr>
                                  <w:rFonts w:ascii="Helvetica" w:eastAsia="Times New Roman" w:hAnsi="Helvetica" w:cs="Times New Roman"/>
                                  <w:color w:val="8F8E99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24E23" w:rsidRPr="00F24E23" w:rsidRDefault="00F24E23" w:rsidP="00F24E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24E23" w:rsidRPr="00F24E23" w:rsidRDefault="00F24E23" w:rsidP="00F2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4E23" w:rsidRPr="00F24E23" w:rsidRDefault="00F24E23" w:rsidP="00F24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В конце прошлого года Министр энергетики РФ Николай Григорьевич </w:t>
      </w:r>
      <w:proofErr w:type="spellStart"/>
      <w:r>
        <w:rPr>
          <w:rFonts w:ascii="RobotoRegular" w:hAnsi="RobotoRegular"/>
          <w:color w:val="212121"/>
        </w:rPr>
        <w:t>Шульгинов</w:t>
      </w:r>
      <w:proofErr w:type="spellEnd"/>
      <w:r>
        <w:rPr>
          <w:rFonts w:ascii="RobotoRegular" w:hAnsi="RobotoRegular"/>
          <w:color w:val="212121"/>
        </w:rPr>
        <w:t xml:space="preserve"> сообщил о том, что по итогам 2020 года потребление энергии в России, согласно прогнозам, должно составить 2,7% за год. Однако позже Заместитель Министра Евгений Петрович </w:t>
      </w:r>
      <w:proofErr w:type="spellStart"/>
      <w:r>
        <w:rPr>
          <w:rFonts w:ascii="RobotoRegular" w:hAnsi="RobotoRegular"/>
          <w:color w:val="212121"/>
        </w:rPr>
        <w:t>Грабчак</w:t>
      </w:r>
      <w:proofErr w:type="spellEnd"/>
      <w:r>
        <w:rPr>
          <w:rFonts w:ascii="RobotoRegular" w:hAnsi="RobotoRegular"/>
          <w:color w:val="212121"/>
        </w:rPr>
        <w:t xml:space="preserve"> уточнил, что в декабре, впервые с начала 2020года, Минэнерго РФ отмечало увеличение энергопотребления по стране.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В настоящий момент Министерство энергетики РФ предоставило официальные данные за прошлый год: энергопотребление составило 1,05 </w:t>
      </w:r>
      <w:proofErr w:type="spellStart"/>
      <w:proofErr w:type="gramStart"/>
      <w:r>
        <w:rPr>
          <w:rFonts w:ascii="RobotoRegular" w:hAnsi="RobotoRegular"/>
          <w:color w:val="212121"/>
        </w:rPr>
        <w:t>трлн</w:t>
      </w:r>
      <w:proofErr w:type="spellEnd"/>
      <w:proofErr w:type="gramEnd"/>
      <w:r>
        <w:rPr>
          <w:rFonts w:ascii="RobotoRegular" w:hAnsi="RobotoRegular"/>
          <w:color w:val="212121"/>
        </w:rPr>
        <w:t xml:space="preserve"> кВт*ч, что на 2,3% ниже показателя за 2019 год, выработка сократилась на 3% - до 1,064 </w:t>
      </w:r>
      <w:proofErr w:type="spellStart"/>
      <w:r>
        <w:rPr>
          <w:rFonts w:ascii="RobotoRegular" w:hAnsi="RobotoRegular"/>
          <w:color w:val="212121"/>
        </w:rPr>
        <w:t>трлн</w:t>
      </w:r>
      <w:proofErr w:type="spellEnd"/>
      <w:r>
        <w:rPr>
          <w:rFonts w:ascii="RobotoRegular" w:hAnsi="RobotoRegular"/>
          <w:color w:val="212121"/>
        </w:rPr>
        <w:t xml:space="preserve"> кВт*ч.</w:t>
      </w:r>
    </w:p>
    <w:p w:rsidR="00F24E23" w:rsidRDefault="00F24E23" w:rsidP="00F24E2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RobotoRegular" w:hAnsi="RobotoRegular"/>
          <w:color w:val="212121"/>
        </w:rPr>
      </w:pPr>
      <w:r>
        <w:rPr>
          <w:rFonts w:ascii="RobotoRegular" w:hAnsi="RobotoRegular"/>
          <w:color w:val="212121"/>
        </w:rPr>
        <w:t xml:space="preserve">В декабре 2020 года потребление энергии возросло на 2,2% в годовом выражении, до 104,9 </w:t>
      </w:r>
      <w:proofErr w:type="spellStart"/>
      <w:proofErr w:type="gramStart"/>
      <w:r>
        <w:rPr>
          <w:rFonts w:ascii="RobotoRegular" w:hAnsi="RobotoRegular"/>
          <w:color w:val="212121"/>
        </w:rPr>
        <w:t>млрд</w:t>
      </w:r>
      <w:proofErr w:type="spellEnd"/>
      <w:proofErr w:type="gramEnd"/>
      <w:r>
        <w:rPr>
          <w:rFonts w:ascii="RobotoRegular" w:hAnsi="RobotoRegular"/>
          <w:color w:val="212121"/>
        </w:rPr>
        <w:t xml:space="preserve"> кВт*ч, а производство электроэнергии увеличилось на 2% по сравнению с декабрем 2019 года и достигло 106,6 </w:t>
      </w:r>
      <w:proofErr w:type="spellStart"/>
      <w:r>
        <w:rPr>
          <w:rFonts w:ascii="RobotoRegular" w:hAnsi="RobotoRegular"/>
          <w:color w:val="212121"/>
        </w:rPr>
        <w:t>млрд</w:t>
      </w:r>
      <w:proofErr w:type="spellEnd"/>
      <w:r>
        <w:rPr>
          <w:rFonts w:ascii="RobotoRegular" w:hAnsi="RobotoRegular"/>
          <w:color w:val="212121"/>
        </w:rPr>
        <w:t xml:space="preserve"> кВт*ч.</w:t>
      </w:r>
    </w:p>
    <w:p w:rsidR="0007364B" w:rsidRDefault="0007364B"/>
    <w:sectPr w:rsidR="0007364B" w:rsidSect="0007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E23"/>
    <w:rsid w:val="0007364B"/>
    <w:rsid w:val="000F5254"/>
    <w:rsid w:val="001E6F25"/>
    <w:rsid w:val="002E72AB"/>
    <w:rsid w:val="00742CA6"/>
    <w:rsid w:val="008565C2"/>
    <w:rsid w:val="009C3684"/>
    <w:rsid w:val="00E7344C"/>
    <w:rsid w:val="00F24E23"/>
    <w:rsid w:val="00F8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84"/>
  </w:style>
  <w:style w:type="paragraph" w:styleId="1">
    <w:name w:val="heading 1"/>
    <w:basedOn w:val="a"/>
    <w:link w:val="10"/>
    <w:uiPriority w:val="9"/>
    <w:qFormat/>
    <w:rsid w:val="009C36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3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24E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6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36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4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4E23"/>
    <w:rPr>
      <w:color w:val="0000FF"/>
      <w:u w:val="single"/>
    </w:rPr>
  </w:style>
  <w:style w:type="paragraph" w:customStyle="1" w:styleId="153d70121ff42a1bmld-paragraph">
    <w:name w:val="153d70121ff42a1bmld-paragraph"/>
    <w:basedOn w:val="a"/>
    <w:rsid w:val="00F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b3b261ae9d174bmld-force-underline">
    <w:name w:val="dab3b261ae9d174bmld-force-underline"/>
    <w:basedOn w:val="a0"/>
    <w:rsid w:val="00F24E23"/>
  </w:style>
  <w:style w:type="character" w:customStyle="1" w:styleId="news-date-time">
    <w:name w:val="news-date-time"/>
    <w:basedOn w:val="a0"/>
    <w:rsid w:val="00F24E23"/>
  </w:style>
  <w:style w:type="character" w:styleId="a6">
    <w:name w:val="Emphasis"/>
    <w:basedOn w:val="a0"/>
    <w:uiPriority w:val="20"/>
    <w:qFormat/>
    <w:rsid w:val="00F24E2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4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96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  <w:divsChild>
            <w:div w:id="1056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83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103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4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tted" w:sz="6" w:space="23" w:color="CCCCCC"/>
            <w:right w:val="none" w:sz="0" w:space="0" w:color="auto"/>
          </w:divBdr>
          <w:divsChild>
            <w:div w:id="755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t.mg5.mlgn2ca.com/track/click?u=01c09e69c131300a54fb82af88a4ea65&amp;id=00c40006&amp;e=0ff5d52a" TargetMode="External"/><Relationship Id="rId13" Type="http://schemas.openxmlformats.org/officeDocument/2006/relationships/hyperlink" Target="https://list.mg5.mlgn2ca.com/track/click?u=01c09e69c131300a54fb82af88a4ea65&amp;id=d6cbac6a&amp;e=0ff5d52a" TargetMode="External"/><Relationship Id="rId18" Type="http://schemas.openxmlformats.org/officeDocument/2006/relationships/hyperlink" Target="https://list.mg5.mlgn2ca.com/track/click?u=01c09e69c131300a54fb82af88a4ea65&amp;id=0abda879&amp;e=0ff5d52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list.mg5.mlgn2ca.com/track/click?u=01c09e69c131300a54fb82af88a4ea65&amp;id=bda0697d&amp;e=0ff5d52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st.mg5.mlgn2ca.com/track/click?u=01c09e69c131300a54fb82af88a4ea65&amp;id=00c40006&amp;e=0ff5d52a" TargetMode="External"/><Relationship Id="rId11" Type="http://schemas.openxmlformats.org/officeDocument/2006/relationships/hyperlink" Target="https://list.mg5.mlgn2ca.com/track/click?u=01c09e69c131300a54fb82af88a4ea65&amp;id=bd794f3e&amp;e=0ff5d52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hyperlink" Target="https://list.mg5.mlgn2ca.com/track/click?u=01c09e69c131300a54fb82af88a4ea65&amp;id=d9e2430b&amp;e=0ff5d52a" TargetMode="External"/><Relationship Id="rId9" Type="http://schemas.openxmlformats.org/officeDocument/2006/relationships/hyperlink" Target="https://list.mg5.mlgn2ca.com/track/click?u=01c09e69c131300a54fb82af88a4ea65&amp;id=0a648e3a&amp;e=0ff5d52a" TargetMode="External"/><Relationship Id="rId14" Type="http://schemas.openxmlformats.org/officeDocument/2006/relationships/hyperlink" Target="https://list.mg5.mlgn2ca.com/track/click?u=01c09e69c131300a54fb82af88a4ea65&amp;id=0fedef67&amp;e=0ff5d5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1334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HelgaStephen</cp:lastModifiedBy>
  <cp:revision>2</cp:revision>
  <dcterms:created xsi:type="dcterms:W3CDTF">2022-11-24T11:34:00Z</dcterms:created>
  <dcterms:modified xsi:type="dcterms:W3CDTF">2022-11-24T11:34:00Z</dcterms:modified>
</cp:coreProperties>
</file>