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Pr="00AD2D35" w:rsidRDefault="001C6ACD" w:rsidP="001C6ACD">
      <w:pPr>
        <w:rPr>
          <w:sz w:val="24"/>
          <w:szCs w:val="24"/>
        </w:rPr>
      </w:pPr>
    </w:p>
    <w:p w:rsidR="001762B4" w:rsidRDefault="001762B4" w:rsidP="001C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1C6ACD" w:rsidRPr="00AD2D35">
        <w:rPr>
          <w:b/>
          <w:sz w:val="24"/>
          <w:szCs w:val="24"/>
        </w:rPr>
        <w:t xml:space="preserve"> БЮДЖЕТА: </w:t>
      </w:r>
    </w:p>
    <w:p w:rsidR="001C6ACD" w:rsidRPr="00AD2D35" w:rsidRDefault="00FD5A0D" w:rsidP="001C6ACD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1C6ACD" w:rsidRPr="00AD2D35">
        <w:rPr>
          <w:sz w:val="24"/>
          <w:szCs w:val="24"/>
        </w:rPr>
        <w:t xml:space="preserve">юджет </w:t>
      </w:r>
      <w:r w:rsidR="001C6ACD">
        <w:rPr>
          <w:sz w:val="24"/>
          <w:szCs w:val="24"/>
        </w:rPr>
        <w:t>Красавс</w:t>
      </w:r>
      <w:r w:rsidR="001C6ACD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8B1245">
        <w:rPr>
          <w:sz w:val="24"/>
          <w:szCs w:val="24"/>
        </w:rPr>
        <w:t>Красавс</w:t>
      </w:r>
      <w:r w:rsidR="008B1245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ОСНОВНЫЕ ХАРАКТЕРИСТИКИ </w:t>
      </w:r>
      <w:r w:rsidR="009175B1">
        <w:rPr>
          <w:b/>
          <w:sz w:val="24"/>
          <w:szCs w:val="24"/>
        </w:rPr>
        <w:t xml:space="preserve">ПРОЕКТА </w:t>
      </w:r>
      <w:r w:rsidRPr="0067053B">
        <w:rPr>
          <w:b/>
          <w:sz w:val="24"/>
          <w:szCs w:val="24"/>
        </w:rPr>
        <w:t>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CA02AB">
              <w:rPr>
                <w:b/>
                <w:sz w:val="24"/>
                <w:szCs w:val="24"/>
              </w:rPr>
              <w:t>2</w:t>
            </w:r>
            <w:r w:rsidRPr="0067053B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9175B1">
              <w:rPr>
                <w:b/>
                <w:sz w:val="24"/>
                <w:szCs w:val="24"/>
              </w:rPr>
              <w:t>2</w:t>
            </w:r>
            <w:r w:rsidR="00CA02AB">
              <w:rPr>
                <w:b/>
                <w:sz w:val="24"/>
                <w:szCs w:val="24"/>
              </w:rPr>
              <w:t>2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F51951">
              <w:rPr>
                <w:b/>
                <w:sz w:val="24"/>
                <w:szCs w:val="24"/>
              </w:rPr>
              <w:t>2</w:t>
            </w:r>
            <w:r w:rsidR="00CA02AB">
              <w:rPr>
                <w:b/>
                <w:sz w:val="24"/>
                <w:szCs w:val="24"/>
              </w:rPr>
              <w:t>3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A02A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A02A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D5A0D" w:rsidRPr="0067053B" w:rsidTr="001762B4">
        <w:tc>
          <w:tcPr>
            <w:tcW w:w="3652" w:type="dxa"/>
          </w:tcPr>
          <w:p w:rsidR="00FD5A0D" w:rsidRPr="0067053B" w:rsidRDefault="00FD5A0D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  <w:vAlign w:val="center"/>
          </w:tcPr>
          <w:p w:rsidR="00FD5A0D" w:rsidRDefault="00FD5A0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17125,6</w:t>
            </w:r>
          </w:p>
        </w:tc>
        <w:tc>
          <w:tcPr>
            <w:tcW w:w="1132" w:type="dxa"/>
            <w:vAlign w:val="center"/>
          </w:tcPr>
          <w:p w:rsidR="00FD5A0D" w:rsidRPr="000B4D88" w:rsidRDefault="00FD5A0D" w:rsidP="001762B4">
            <w:pPr>
              <w:rPr>
                <w:rFonts w:eastAsiaTheme="minorEastAsia"/>
                <w:b/>
                <w:sz w:val="24"/>
                <w:szCs w:val="24"/>
              </w:rPr>
            </w:pPr>
            <w:r w:rsidRPr="000B4D88">
              <w:rPr>
                <w:rFonts w:eastAsiaTheme="minorEastAsia"/>
                <w:b/>
                <w:sz w:val="24"/>
                <w:szCs w:val="24"/>
              </w:rPr>
              <w:t>23382,8</w:t>
            </w:r>
          </w:p>
        </w:tc>
        <w:tc>
          <w:tcPr>
            <w:tcW w:w="1132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FD5A0D" w:rsidRPr="0067053B" w:rsidTr="001762B4">
        <w:tc>
          <w:tcPr>
            <w:tcW w:w="3652" w:type="dxa"/>
          </w:tcPr>
          <w:p w:rsidR="00FD5A0D" w:rsidRPr="0067053B" w:rsidRDefault="00FD5A0D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FD5A0D" w:rsidRPr="0067053B" w:rsidRDefault="00FD5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12518,9</w:t>
            </w:r>
          </w:p>
        </w:tc>
        <w:tc>
          <w:tcPr>
            <w:tcW w:w="1132" w:type="dxa"/>
          </w:tcPr>
          <w:p w:rsidR="00FD5A0D" w:rsidRPr="0067053B" w:rsidRDefault="00FD5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30387,3</w:t>
            </w:r>
          </w:p>
        </w:tc>
        <w:tc>
          <w:tcPr>
            <w:tcW w:w="1132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DD63F8" w:rsidRPr="0067053B" w:rsidRDefault="001762B4" w:rsidP="0040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+4606,7</w:t>
            </w:r>
          </w:p>
        </w:tc>
        <w:tc>
          <w:tcPr>
            <w:tcW w:w="1132" w:type="dxa"/>
          </w:tcPr>
          <w:p w:rsidR="00DD63F8" w:rsidRPr="0067053B" w:rsidRDefault="001762B4" w:rsidP="0008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-7004,5</w:t>
            </w:r>
          </w:p>
        </w:tc>
        <w:tc>
          <w:tcPr>
            <w:tcW w:w="113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EC7D73" w:rsidRDefault="001938C1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</w:t>
      </w:r>
      <w:r w:rsidR="00EC7D73">
        <w:rPr>
          <w:b/>
        </w:rPr>
        <w:t>Доходы бюджета</w:t>
      </w:r>
    </w:p>
    <w:p w:rsidR="001938C1" w:rsidRDefault="00EC7D73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</w:t>
      </w:r>
      <w:r w:rsidR="001938C1">
        <w:rPr>
          <w:b/>
          <w:spacing w:val="2"/>
        </w:rPr>
        <w:t>доходов в динамике бюджета Красав</w:t>
      </w:r>
      <w:r>
        <w:rPr>
          <w:b/>
          <w:spacing w:val="2"/>
        </w:rPr>
        <w:t xml:space="preserve">ского </w:t>
      </w:r>
      <w:r w:rsidR="001938C1">
        <w:rPr>
          <w:b/>
          <w:spacing w:val="2"/>
        </w:rPr>
        <w:t xml:space="preserve">  </w:t>
      </w:r>
    </w:p>
    <w:p w:rsidR="001938C1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</w:t>
      </w:r>
      <w:r w:rsidR="00EC7D73">
        <w:rPr>
          <w:b/>
          <w:spacing w:val="2"/>
        </w:rPr>
        <w:t>муниципального образования  Самойловского</w:t>
      </w:r>
      <w:r w:rsidR="00EC7D73">
        <w:rPr>
          <w:spacing w:val="2"/>
        </w:rPr>
        <w:t xml:space="preserve">                                             </w:t>
      </w:r>
    </w:p>
    <w:p w:rsidR="00EC7D73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</w:t>
      </w:r>
      <w:r w:rsidR="00EC7D73">
        <w:rPr>
          <w:b/>
          <w:spacing w:val="2"/>
        </w:rPr>
        <w:t>муниципального района</w:t>
      </w:r>
    </w:p>
    <w:p w:rsidR="00EC7D73" w:rsidRDefault="00EC7D73" w:rsidP="00EC7D73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EC7D73" w:rsidTr="0054702B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7D73" w:rsidTr="0054702B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 w:rsidP="001762B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 роста                     (к 20</w:t>
            </w:r>
            <w:r w:rsidR="001762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24713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23382,8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903E70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Default="00903E7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Default="00903E7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14044,4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903E7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903E7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13000,7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14166,4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200DC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13813,9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12994,3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13566,1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14160,0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</w:tr>
      <w:tr w:rsidR="00161117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16111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1611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1611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2591,1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2651,0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 w:rsidP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6940, 0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 w:rsidP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7356,0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7800,0</w:t>
            </w:r>
          </w:p>
        </w:tc>
      </w:tr>
      <w:tr w:rsidR="00EC7D73" w:rsidTr="0054702B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31,0</w:t>
            </w:r>
          </w:p>
        </w:tc>
      </w:tr>
      <w:tr w:rsidR="00EC7D73" w:rsidTr="0054702B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3068,0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</w:tr>
      <w:tr w:rsidR="00906D1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Default="00906D1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CA02A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CA02AB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CA02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24713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6327,5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440,0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126,9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5922,0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313,1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CA4C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 w:rsidP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CA4C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C7D73" w:rsidRDefault="00EC7D73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Расходы бюджета-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63096B" w:rsidRDefault="0063096B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lastRenderedPageBreak/>
        <w:t xml:space="preserve">В каких пропорциях распределены расходы местного бюджета </w:t>
      </w:r>
    </w:p>
    <w:p w:rsidR="00971EF2" w:rsidRDefault="001762B4" w:rsidP="00BC3EC6">
      <w:pPr>
        <w:jc w:val="center"/>
        <w:rPr>
          <w:b/>
        </w:rPr>
      </w:pPr>
      <w:r>
        <w:rPr>
          <w:b/>
        </w:rPr>
        <w:t>на 2023-2025 года</w:t>
      </w:r>
      <w:r w:rsidR="00971EF2" w:rsidRPr="00A07CD6">
        <w:rPr>
          <w:b/>
        </w:rPr>
        <w:t>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F4131D" w:rsidTr="00F4131D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D5A0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Default="00FD5A0D" w:rsidP="00F413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8704,4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8674,0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8927,1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313,1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2651,0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2574,6</w:t>
            </w:r>
          </w:p>
        </w:tc>
      </w:tr>
      <w:tr w:rsidR="00120049" w:rsidTr="00F4131D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</w:tr>
      <w:tr w:rsidR="00120049" w:rsidTr="00F4131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</w:tr>
    </w:tbl>
    <w:p w:rsidR="00971EF2" w:rsidRPr="00A07CD6" w:rsidRDefault="00971EF2" w:rsidP="00BC3EC6">
      <w:pPr>
        <w:rPr>
          <w:b/>
        </w:rPr>
      </w:pPr>
    </w:p>
    <w:p w:rsidR="00971EF2" w:rsidRDefault="0012004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D4E8B">
        <w:rPr>
          <w:sz w:val="24"/>
          <w:szCs w:val="24"/>
        </w:rPr>
        <w:t>3</w:t>
      </w:r>
      <w:r>
        <w:rPr>
          <w:sz w:val="24"/>
          <w:szCs w:val="24"/>
        </w:rPr>
        <w:t>год</w:t>
      </w:r>
    </w:p>
    <w:p w:rsidR="00DD12C0" w:rsidRDefault="00CA0B79" w:rsidP="00BC3EC6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893945" cy="2537460"/>
            <wp:effectExtent l="0" t="0" r="2540" b="0"/>
            <wp:wrapTight wrapText="bothSides">
              <wp:wrapPolygon edited="0">
                <wp:start x="-36" y="0"/>
                <wp:lineTo x="-36" y="21535"/>
                <wp:lineTo x="21600" y="21535"/>
                <wp:lineTo x="21600" y="0"/>
                <wp:lineTo x="-36" y="0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7D4E8B">
      <w:pPr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D4E8B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CA0B79" w:rsidP="00FD1DDA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476875" cy="2956560"/>
            <wp:effectExtent l="0" t="0" r="635" b="0"/>
            <wp:wrapTight wrapText="bothSides">
              <wp:wrapPolygon edited="0">
                <wp:start x="-35" y="0"/>
                <wp:lineTo x="-35" y="21535"/>
                <wp:lineTo x="21600" y="21535"/>
                <wp:lineTo x="21600" y="0"/>
                <wp:lineTo x="-35" y="0"/>
              </wp:wrapPolygon>
            </wp:wrapTight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3096B">
        <w:rPr>
          <w:sz w:val="24"/>
          <w:szCs w:val="24"/>
        </w:rPr>
        <w:t>5</w:t>
      </w:r>
      <w:r>
        <w:rPr>
          <w:sz w:val="24"/>
          <w:szCs w:val="24"/>
        </w:rPr>
        <w:t>год</w:t>
      </w:r>
    </w:p>
    <w:p w:rsidR="00120049" w:rsidRDefault="00CA0B79" w:rsidP="00120049">
      <w:pPr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393690" cy="3292475"/>
            <wp:effectExtent l="0" t="0" r="0" b="3175"/>
            <wp:wrapTight wrapText="bothSides">
              <wp:wrapPolygon edited="0">
                <wp:start x="-36" y="0"/>
                <wp:lineTo x="-36" y="21533"/>
                <wp:lineTo x="21600" y="21533"/>
                <wp:lineTo x="21600" y="0"/>
                <wp:lineTo x="-36" y="0"/>
              </wp:wrapPolygon>
            </wp:wrapTight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№ п/п</w:t>
            </w:r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63096B" w:rsidRPr="00BC3EC6" w:rsidTr="001A3FA3">
        <w:trPr>
          <w:trHeight w:val="759"/>
        </w:trPr>
        <w:tc>
          <w:tcPr>
            <w:tcW w:w="594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EC6"/>
    <w:rsid w:val="000565D6"/>
    <w:rsid w:val="000833C0"/>
    <w:rsid w:val="00085FDD"/>
    <w:rsid w:val="000A7798"/>
    <w:rsid w:val="000B10C3"/>
    <w:rsid w:val="000B4D88"/>
    <w:rsid w:val="00105BE9"/>
    <w:rsid w:val="00120049"/>
    <w:rsid w:val="001268C7"/>
    <w:rsid w:val="0014463F"/>
    <w:rsid w:val="00152F41"/>
    <w:rsid w:val="00155C19"/>
    <w:rsid w:val="00161117"/>
    <w:rsid w:val="001762B4"/>
    <w:rsid w:val="001938C1"/>
    <w:rsid w:val="001A0409"/>
    <w:rsid w:val="001A3FA3"/>
    <w:rsid w:val="001B30E2"/>
    <w:rsid w:val="001C6ACD"/>
    <w:rsid w:val="001D0C45"/>
    <w:rsid w:val="00200DC4"/>
    <w:rsid w:val="0020601E"/>
    <w:rsid w:val="0021260F"/>
    <w:rsid w:val="00236901"/>
    <w:rsid w:val="00247134"/>
    <w:rsid w:val="002F0E63"/>
    <w:rsid w:val="003113DA"/>
    <w:rsid w:val="00323539"/>
    <w:rsid w:val="0036028E"/>
    <w:rsid w:val="003C353B"/>
    <w:rsid w:val="003C61E0"/>
    <w:rsid w:val="003D6C68"/>
    <w:rsid w:val="003E26F1"/>
    <w:rsid w:val="003E2E6C"/>
    <w:rsid w:val="00403689"/>
    <w:rsid w:val="0040714A"/>
    <w:rsid w:val="004129DE"/>
    <w:rsid w:val="0042504D"/>
    <w:rsid w:val="00493469"/>
    <w:rsid w:val="004A06B8"/>
    <w:rsid w:val="004B7E66"/>
    <w:rsid w:val="004F3974"/>
    <w:rsid w:val="00524909"/>
    <w:rsid w:val="00525254"/>
    <w:rsid w:val="00525AB8"/>
    <w:rsid w:val="005415A7"/>
    <w:rsid w:val="00543603"/>
    <w:rsid w:val="0054702B"/>
    <w:rsid w:val="005831EA"/>
    <w:rsid w:val="00592EAA"/>
    <w:rsid w:val="005977AC"/>
    <w:rsid w:val="00610399"/>
    <w:rsid w:val="0061436D"/>
    <w:rsid w:val="0063096B"/>
    <w:rsid w:val="0063614B"/>
    <w:rsid w:val="00665370"/>
    <w:rsid w:val="00667965"/>
    <w:rsid w:val="0067053B"/>
    <w:rsid w:val="006C5617"/>
    <w:rsid w:val="006C7EB6"/>
    <w:rsid w:val="00701CDE"/>
    <w:rsid w:val="00706C41"/>
    <w:rsid w:val="0073122F"/>
    <w:rsid w:val="00735FB5"/>
    <w:rsid w:val="007756CC"/>
    <w:rsid w:val="007D4E8B"/>
    <w:rsid w:val="007D7BEC"/>
    <w:rsid w:val="007F38E6"/>
    <w:rsid w:val="0081087C"/>
    <w:rsid w:val="00811FAE"/>
    <w:rsid w:val="00835E2A"/>
    <w:rsid w:val="008534E7"/>
    <w:rsid w:val="008544E3"/>
    <w:rsid w:val="0088013C"/>
    <w:rsid w:val="008B1245"/>
    <w:rsid w:val="008B7FB4"/>
    <w:rsid w:val="008D4FFE"/>
    <w:rsid w:val="008E1056"/>
    <w:rsid w:val="00902A35"/>
    <w:rsid w:val="00903E70"/>
    <w:rsid w:val="00906D1C"/>
    <w:rsid w:val="009121C9"/>
    <w:rsid w:val="00913020"/>
    <w:rsid w:val="009175B1"/>
    <w:rsid w:val="00921731"/>
    <w:rsid w:val="00923E66"/>
    <w:rsid w:val="0095623B"/>
    <w:rsid w:val="00957D04"/>
    <w:rsid w:val="00971EF2"/>
    <w:rsid w:val="009C065B"/>
    <w:rsid w:val="009D06EE"/>
    <w:rsid w:val="00A07CD6"/>
    <w:rsid w:val="00A225E1"/>
    <w:rsid w:val="00A31EEA"/>
    <w:rsid w:val="00A33473"/>
    <w:rsid w:val="00A51150"/>
    <w:rsid w:val="00AD484F"/>
    <w:rsid w:val="00AE39E1"/>
    <w:rsid w:val="00AE71D4"/>
    <w:rsid w:val="00B10CA0"/>
    <w:rsid w:val="00BC3EC6"/>
    <w:rsid w:val="00BD0305"/>
    <w:rsid w:val="00C6630C"/>
    <w:rsid w:val="00C91B69"/>
    <w:rsid w:val="00CA02AB"/>
    <w:rsid w:val="00CA0B79"/>
    <w:rsid w:val="00CA4C0D"/>
    <w:rsid w:val="00CD547A"/>
    <w:rsid w:val="00CF2F12"/>
    <w:rsid w:val="00CF3114"/>
    <w:rsid w:val="00D176ED"/>
    <w:rsid w:val="00D2037A"/>
    <w:rsid w:val="00D57A4D"/>
    <w:rsid w:val="00D63A19"/>
    <w:rsid w:val="00D76E25"/>
    <w:rsid w:val="00D86E40"/>
    <w:rsid w:val="00D91EF8"/>
    <w:rsid w:val="00DD12C0"/>
    <w:rsid w:val="00DD63F8"/>
    <w:rsid w:val="00DE2F72"/>
    <w:rsid w:val="00DF2049"/>
    <w:rsid w:val="00E043BC"/>
    <w:rsid w:val="00E1114F"/>
    <w:rsid w:val="00E3022A"/>
    <w:rsid w:val="00E3760C"/>
    <w:rsid w:val="00E37D86"/>
    <w:rsid w:val="00E46F2E"/>
    <w:rsid w:val="00E637BC"/>
    <w:rsid w:val="00EA5140"/>
    <w:rsid w:val="00EC4D17"/>
    <w:rsid w:val="00EC7D73"/>
    <w:rsid w:val="00ED5857"/>
    <w:rsid w:val="00EE5676"/>
    <w:rsid w:val="00F057B4"/>
    <w:rsid w:val="00F05A73"/>
    <w:rsid w:val="00F24AF5"/>
    <w:rsid w:val="00F4131D"/>
    <w:rsid w:val="00F517E4"/>
    <w:rsid w:val="00F51951"/>
    <w:rsid w:val="00F84CA7"/>
    <w:rsid w:val="00F85C0E"/>
    <w:rsid w:val="00F86851"/>
    <w:rsid w:val="00FD1DDA"/>
    <w:rsid w:val="00FD457E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rotY val="170"/>
      <c:perspective val="0"/>
    </c:view3D>
    <c:plotArea>
      <c:layout>
        <c:manualLayout>
          <c:layoutTarget val="inner"/>
          <c:xMode val="edge"/>
          <c:yMode val="edge"/>
          <c:x val="0.28994082840236685"/>
          <c:y val="0.33593750000000011"/>
          <c:w val="0.43589743589743601"/>
          <c:h val="0.27343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68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9.4674556213017763E-2"/>
                  <c:y val="0.41796875000000011"/>
                </c:manualLayout>
              </c:layout>
              <c:spPr>
                <a:noFill/>
                <a:ln w="15137">
                  <a:noFill/>
                </a:ln>
              </c:spPr>
              <c:txPr>
                <a:bodyPr/>
                <a:lstStyle/>
                <a:p>
                  <a:pPr>
                    <a:defRPr sz="4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layout>
                <c:manualLayout>
                  <c:xMode val="edge"/>
                  <c:yMode val="edge"/>
                  <c:x val="0.21893491124260361"/>
                  <c:y val="0.1640625"/>
                </c:manualLayout>
              </c:layout>
              <c:spPr>
                <a:noFill/>
                <a:ln w="15137">
                  <a:noFill/>
                </a:ln>
              </c:spPr>
              <c:txPr>
                <a:bodyPr/>
                <a:lstStyle/>
                <a:p>
                  <a:pPr>
                    <a:defRPr sz="4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Mode val="edge"/>
                  <c:yMode val="edge"/>
                  <c:x val="0.66074950690335355"/>
                  <c:y val="1.9531250000000003E-2"/>
                </c:manualLayout>
              </c:layout>
              <c:spPr>
                <a:noFill/>
                <a:ln w="15137">
                  <a:noFill/>
                </a:ln>
              </c:spPr>
              <c:txPr>
                <a:bodyPr/>
                <a:lstStyle/>
                <a:p>
                  <a:pPr>
                    <a:defRPr sz="4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Mode val="edge"/>
                  <c:yMode val="edge"/>
                  <c:x val="0.69230769230769251"/>
                  <c:y val="0.51562500000000022"/>
                </c:manualLayout>
              </c:layout>
              <c:spPr>
                <a:noFill/>
                <a:ln w="15137">
                  <a:noFill/>
                </a:ln>
              </c:spPr>
              <c:txPr>
                <a:bodyPr/>
                <a:lstStyle/>
                <a:p>
                  <a:pPr>
                    <a:defRPr sz="4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4"/>
              <c:layout>
                <c:manualLayout>
                  <c:xMode val="edge"/>
                  <c:yMode val="edge"/>
                  <c:x val="0.4832347140039448"/>
                  <c:y val="0.67187500000000044"/>
                </c:manualLayout>
              </c:layout>
              <c:spPr>
                <a:noFill/>
                <a:ln w="15137">
                  <a:noFill/>
                </a:ln>
              </c:spPr>
              <c:txPr>
                <a:bodyPr/>
                <a:lstStyle/>
                <a:p>
                  <a:pPr>
                    <a:defRPr sz="47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Mode val="edge"/>
                  <c:yMode val="edge"/>
                  <c:x val="0.22090729783037483"/>
                  <c:y val="0.67187500000000044"/>
                </c:manualLayout>
              </c:layout>
              <c:dLblPos val="bestFit"/>
              <c:showVal val="1"/>
              <c:showCatName val="1"/>
            </c:dLbl>
            <c:numFmt formatCode="0.00%" sourceLinked="0"/>
            <c:spPr>
              <a:noFill/>
              <a:ln w="15137">
                <a:noFill/>
              </a:ln>
            </c:spPr>
            <c:txPr>
              <a:bodyPr/>
              <a:lstStyle/>
              <a:p>
                <a:pPr>
                  <a:defRPr sz="4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0.45</c:v>
                </c:pt>
                <c:pt idx="1">
                  <c:v>1.4999999999999998E-2</c:v>
                </c:pt>
                <c:pt idx="2">
                  <c:v>0.45200000000000001</c:v>
                </c:pt>
                <c:pt idx="3">
                  <c:v>7.5000000000000011E-2</c:v>
                </c:pt>
                <c:pt idx="4">
                  <c:v>3.0000000000000009E-3</c:v>
                </c:pt>
                <c:pt idx="5">
                  <c:v>5.0000000000000018E-3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568">
              <a:solidFill>
                <a:srgbClr val="000000"/>
              </a:solidFill>
              <a:prstDash val="solid"/>
            </a:ln>
          </c:spPr>
          <c:explosion val="28"/>
          <c:dPt>
            <c:idx val="0"/>
            <c:spPr>
              <a:solidFill>
                <a:srgbClr val="9999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5137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Val val="1"/>
          <c:showCatName val="1"/>
        </c:dLbls>
      </c:pie3DChart>
      <c:spPr>
        <a:solidFill>
          <a:srgbClr val="FFFFFF"/>
        </a:solidFill>
        <a:ln w="15137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6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rotY val="170"/>
      <c:perspective val="0"/>
    </c:view3D>
    <c:plotArea>
      <c:layout>
        <c:manualLayout>
          <c:layoutTarget val="inner"/>
          <c:xMode val="edge"/>
          <c:yMode val="edge"/>
          <c:x val="0.29577464788732405"/>
          <c:y val="0.34666666666666685"/>
          <c:w val="0.42429577464788731"/>
          <c:h val="0.253333333333333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68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9.1549295774647932E-2"/>
                  <c:y val="0.28666666666666685"/>
                </c:manualLayout>
              </c:layout>
              <c:spPr>
                <a:noFill/>
                <a:ln w="15135">
                  <a:noFill/>
                </a:ln>
              </c:spPr>
              <c:txPr>
                <a:bodyPr/>
                <a:lstStyle/>
                <a:p>
                  <a:pPr>
                    <a:defRPr sz="52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spPr>
                <a:noFill/>
                <a:ln w="15135">
                  <a:noFill/>
                </a:ln>
              </c:spPr>
              <c:txPr>
                <a:bodyPr/>
                <a:lstStyle/>
                <a:p>
                  <a:pPr>
                    <a:defRPr sz="52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Mode val="edge"/>
                  <c:yMode val="edge"/>
                  <c:x val="0.69190140845070458"/>
                  <c:y val="0.11"/>
                </c:manualLayout>
              </c:layout>
              <c:spPr>
                <a:noFill/>
                <a:ln w="15135">
                  <a:noFill/>
                </a:ln>
              </c:spPr>
              <c:txPr>
                <a:bodyPr/>
                <a:lstStyle/>
                <a:p>
                  <a:pPr>
                    <a:defRPr sz="52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Mode val="edge"/>
                  <c:yMode val="edge"/>
                  <c:x val="0.73591549295774661"/>
                  <c:y val="0.45"/>
                </c:manualLayout>
              </c:layout>
              <c:spPr>
                <a:noFill/>
                <a:ln w="15135">
                  <a:noFill/>
                </a:ln>
              </c:spPr>
              <c:txPr>
                <a:bodyPr/>
                <a:lstStyle/>
                <a:p>
                  <a:pPr>
                    <a:defRPr sz="52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4"/>
              <c:layout>
                <c:manualLayout>
                  <c:xMode val="edge"/>
                  <c:yMode val="edge"/>
                  <c:x val="0.58450704225352113"/>
                  <c:y val="0.63333333333333353"/>
                </c:manualLayout>
              </c:layout>
              <c:spPr>
                <a:noFill/>
                <a:ln w="15135">
                  <a:noFill/>
                </a:ln>
              </c:spPr>
              <c:txPr>
                <a:bodyPr/>
                <a:lstStyle/>
                <a:p>
                  <a:pPr>
                    <a:defRPr sz="52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Mode val="edge"/>
                  <c:yMode val="edge"/>
                  <c:x val="0.23591549295774658"/>
                  <c:y val="0.66000000000000025"/>
                </c:manualLayout>
              </c:layout>
              <c:dLblPos val="bestFit"/>
              <c:showVal val="1"/>
              <c:showCatName val="1"/>
            </c:dLbl>
            <c:numFmt formatCode="0.00%" sourceLinked="0"/>
            <c:spPr>
              <a:noFill/>
              <a:ln w="15135">
                <a:noFill/>
              </a:ln>
            </c:spPr>
            <c:txPr>
              <a:bodyPr/>
              <a:lstStyle/>
              <a:p>
                <a:pPr>
                  <a:defRPr sz="5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0.62000000000000022</c:v>
                </c:pt>
                <c:pt idx="1">
                  <c:v>2.1999999999999999E-2</c:v>
                </c:pt>
                <c:pt idx="2">
                  <c:v>0.18500000000000005</c:v>
                </c:pt>
                <c:pt idx="3">
                  <c:v>0.16300000000000001</c:v>
                </c:pt>
                <c:pt idx="4">
                  <c:v>4.0000000000000018E-3</c:v>
                </c:pt>
                <c:pt idx="5">
                  <c:v>6.0000000000000019E-3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56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5135">
                <a:noFill/>
              </a:ln>
            </c:spPr>
            <c:txPr>
              <a:bodyPr/>
              <a:lstStyle/>
              <a:p>
                <a:pPr>
                  <a:defRPr sz="71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Val val="1"/>
          <c:showCatName val="1"/>
        </c:dLbls>
      </c:pie3DChart>
      <c:spPr>
        <a:solidFill>
          <a:srgbClr val="FFFFFF"/>
        </a:solidFill>
        <a:ln w="15135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7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rotY val="170"/>
      <c:perspective val="0"/>
    </c:view3D>
    <c:plotArea>
      <c:layout>
        <c:manualLayout>
          <c:layoutTarget val="inner"/>
          <c:xMode val="edge"/>
          <c:yMode val="edge"/>
          <c:x val="0.28392857142857153"/>
          <c:y val="0.36011904761904773"/>
          <c:w val="0.44821428571428595"/>
          <c:h val="0.235119047619047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7568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7.3214285714285732E-2"/>
                  <c:y val="0.31547619047619047"/>
                </c:manualLayout>
              </c:layout>
              <c:spPr>
                <a:noFill/>
                <a:ln w="15136">
                  <a:noFill/>
                </a:ln>
              </c:spPr>
              <c:txPr>
                <a:bodyPr/>
                <a:lstStyle/>
                <a:p>
                  <a:pPr>
                    <a:defRPr sz="5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layout>
                <c:manualLayout>
                  <c:xMode val="edge"/>
                  <c:yMode val="edge"/>
                  <c:x val="0.52857142857142869"/>
                  <c:y val="5.6547619047619069E-2"/>
                </c:manualLayout>
              </c:layout>
              <c:spPr>
                <a:noFill/>
                <a:ln w="15136">
                  <a:noFill/>
                </a:ln>
              </c:spPr>
              <c:txPr>
                <a:bodyPr/>
                <a:lstStyle/>
                <a:p>
                  <a:pPr>
                    <a:defRPr sz="5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Mode val="edge"/>
                  <c:yMode val="edge"/>
                  <c:x val="0.69642857142857184"/>
                  <c:y val="0.15178571428571427"/>
                </c:manualLayout>
              </c:layout>
              <c:spPr>
                <a:noFill/>
                <a:ln w="15136">
                  <a:noFill/>
                </a:ln>
              </c:spPr>
              <c:txPr>
                <a:bodyPr/>
                <a:lstStyle/>
                <a:p>
                  <a:pPr>
                    <a:defRPr sz="5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Mode val="edge"/>
                  <c:yMode val="edge"/>
                  <c:x val="0.75892857142857195"/>
                  <c:y val="0.44642857142857162"/>
                </c:manualLayout>
              </c:layout>
              <c:spPr>
                <a:noFill/>
                <a:ln w="15136">
                  <a:noFill/>
                </a:ln>
              </c:spPr>
              <c:txPr>
                <a:bodyPr/>
                <a:lstStyle/>
                <a:p>
                  <a:pPr>
                    <a:defRPr sz="5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4"/>
              <c:layout>
                <c:manualLayout>
                  <c:xMode val="edge"/>
                  <c:yMode val="edge"/>
                  <c:x val="0.58928571428571441"/>
                  <c:y val="0.6279761904761908"/>
                </c:manualLayout>
              </c:layout>
              <c:spPr>
                <a:noFill/>
                <a:ln w="15136">
                  <a:noFill/>
                </a:ln>
              </c:spPr>
              <c:txPr>
                <a:bodyPr/>
                <a:lstStyle/>
                <a:p>
                  <a:pPr>
                    <a:defRPr sz="5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Mode val="edge"/>
                  <c:yMode val="edge"/>
                  <c:x val="0.23035714285714293"/>
                  <c:y val="0.65476190476190477"/>
                </c:manualLayout>
              </c:layout>
              <c:dLblPos val="bestFit"/>
              <c:showVal val="1"/>
              <c:showCatName val="1"/>
            </c:dLbl>
            <c:numFmt formatCode="0.00%" sourceLinked="0"/>
            <c:spPr>
              <a:noFill/>
              <a:ln w="15136">
                <a:noFill/>
              </a:ln>
            </c:spPr>
            <c:txPr>
              <a:bodyPr/>
              <a:lstStyle/>
              <a:p>
                <a:pPr>
                  <a:defRPr sz="50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0.61100000000000021</c:v>
                </c:pt>
                <c:pt idx="1">
                  <c:v>2.1000000000000008E-2</c:v>
                </c:pt>
                <c:pt idx="2">
                  <c:v>0.18200000000000005</c:v>
                </c:pt>
                <c:pt idx="3">
                  <c:v>0.17600000000000005</c:v>
                </c:pt>
                <c:pt idx="4">
                  <c:v>4.0000000000000018E-3</c:v>
                </c:pt>
                <c:pt idx="5">
                  <c:v>6.0000000000000027E-3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7568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756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15136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Физическая культура и спорт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Val val="1"/>
          <c:showCatName val="1"/>
        </c:dLbls>
      </c:pie3DChart>
      <c:spPr>
        <a:solidFill>
          <a:srgbClr val="FFFFFF"/>
        </a:solidFill>
        <a:ln w="15136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8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HelgaStephen</cp:lastModifiedBy>
  <cp:revision>2</cp:revision>
  <cp:lastPrinted>2020-12-21T06:34:00Z</cp:lastPrinted>
  <dcterms:created xsi:type="dcterms:W3CDTF">2022-12-09T12:29:00Z</dcterms:created>
  <dcterms:modified xsi:type="dcterms:W3CDTF">2022-12-09T12:29:00Z</dcterms:modified>
</cp:coreProperties>
</file>